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1D0C8A" w:rsidRPr="007335E1" w:rsidRDefault="00557A87" w:rsidP="00CF4DE9">
      <w:pPr>
        <w:pStyle w:val="Header"/>
        <w:jc w:val="center"/>
        <w:rPr>
          <w:rFonts w:ascii="Arial" w:hAnsi="Arial" w:cs="Arial"/>
          <w:b/>
          <w:color w:val="FF0000"/>
          <w:u w:val="single"/>
        </w:rPr>
      </w:pPr>
      <w:r w:rsidRPr="00A41DFC">
        <w:rPr>
          <w:rFonts w:ascii="Arial" w:hAnsi="Arial" w:cs="Arial"/>
          <w:b/>
          <w:color w:val="FF0000"/>
          <w:highlight w:val="cyan"/>
          <w:u w:val="single"/>
        </w:rPr>
        <w:t xml:space="preserve">SUPPLY AND DELIVERY OF </w:t>
      </w:r>
      <w:r w:rsidR="00804009" w:rsidRPr="00A41DFC">
        <w:rPr>
          <w:rFonts w:ascii="Arial" w:hAnsi="Arial" w:cs="Arial"/>
          <w:b/>
          <w:color w:val="FF0000"/>
          <w:highlight w:val="cyan"/>
          <w:u w:val="single"/>
        </w:rPr>
        <w:t>MECHANICAL SPARE PARTS FOR GENERATING SET NO. 1 163KW DALE PERKINS</w:t>
      </w:r>
      <w:r w:rsidR="00503675">
        <w:rPr>
          <w:rFonts w:ascii="Arial" w:hAnsi="Arial" w:cs="Arial"/>
          <w:b/>
          <w:color w:val="FF0000"/>
          <w:u w:val="single"/>
        </w:rPr>
        <w:t xml:space="preserve"> </w:t>
      </w:r>
      <w:r w:rsidR="00503675" w:rsidRPr="00503675">
        <w:rPr>
          <w:rFonts w:ascii="Arial" w:hAnsi="Arial" w:cs="Arial"/>
          <w:b/>
          <w:color w:val="FF0000"/>
          <w:highlight w:val="cyan"/>
          <w:u w:val="single"/>
        </w:rPr>
        <w:t>EM: 2006TG1 EN: 8B27396U88044W SN: 90</w:t>
      </w:r>
    </w:p>
    <w:p w:rsidR="00557A87" w:rsidRPr="003D3CE7" w:rsidRDefault="00557A87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A43752" w:rsidRPr="00292F71" w:rsidRDefault="00D63E05" w:rsidP="00282AB3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Engine </w:t>
      </w:r>
      <w:r w:rsidR="002E76C7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>No.</w:t>
      </w:r>
      <w:r w:rsidR="002E76C7">
        <w:rPr>
          <w:rFonts w:ascii="Arial" w:hAnsi="Arial" w:cs="Arial"/>
          <w:bCs/>
          <w:color w:val="000000"/>
          <w:sz w:val="22"/>
          <w:szCs w:val="22"/>
          <w:u w:val="single"/>
        </w:rPr>
        <w:t>:</w:t>
      </w:r>
      <w:r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</w:t>
      </w:r>
      <w:r w:rsidR="00A41DFC" w:rsidRPr="00A41DFC">
        <w:rPr>
          <w:rFonts w:ascii="Arial" w:hAnsi="Arial" w:cs="Arial"/>
          <w:bCs/>
          <w:color w:val="000000"/>
          <w:sz w:val="22"/>
          <w:szCs w:val="22"/>
          <w:highlight w:val="cyan"/>
          <w:u w:val="single"/>
        </w:rPr>
        <w:t>8B27396U88044W</w:t>
      </w:r>
    </w:p>
    <w:tbl>
      <w:tblPr>
        <w:tblW w:w="108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3427"/>
        <w:gridCol w:w="1941"/>
        <w:gridCol w:w="581"/>
        <w:gridCol w:w="826"/>
        <w:gridCol w:w="1638"/>
        <w:gridCol w:w="1722"/>
      </w:tblGrid>
      <w:tr w:rsidR="00AA49EE" w:rsidRPr="00AA49EE" w:rsidTr="00804009">
        <w:trPr>
          <w:trHeight w:val="300"/>
        </w:trPr>
        <w:tc>
          <w:tcPr>
            <w:tcW w:w="684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27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348" w:type="dxa"/>
            <w:gridSpan w:val="3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04009">
        <w:trPr>
          <w:trHeight w:val="300"/>
        </w:trPr>
        <w:tc>
          <w:tcPr>
            <w:tcW w:w="684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27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07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D27B9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D27B9E" w:rsidRDefault="00D27B9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:rsidR="00D27B9E" w:rsidRPr="00D27B9E" w:rsidRDefault="00D27B9E" w:rsidP="00D27B9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B9E">
              <w:rPr>
                <w:rFonts w:ascii="Arial" w:hAnsi="Arial" w:cs="Arial"/>
                <w:color w:val="000000"/>
                <w:sz w:val="22"/>
                <w:szCs w:val="22"/>
              </w:rPr>
              <w:t>SUPPLY AND DELIVERY OF MECHANICAL SPARE PARTS FOR GENERATING SET NO. 1 163KW DALE PERKINS EM: 2006TG1 EN: 8B27396U88044W SN: 90</w:t>
            </w:r>
          </w:p>
          <w:p w:rsidR="00D27B9E" w:rsidRDefault="00D27B9E" w:rsidP="00BE4A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D27B9E" w:rsidRDefault="00D27B9E" w:rsidP="00BE4A2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D27B9E" w:rsidRDefault="00D27B9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D27B9E" w:rsidRDefault="00D27B9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D27B9E" w:rsidRPr="00AA49EE" w:rsidRDefault="00D27B9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D27B9E" w:rsidRPr="00AA49EE" w:rsidRDefault="00D27B9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BE4A2E" w:rsidRPr="007C0629" w:rsidRDefault="00BE4A2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BOTTOM OVERHAULING KIT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KRP 1263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BE4A2E" w:rsidRPr="007C0629" w:rsidRDefault="00BE4A2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EXHAUST VALVE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OE 50589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BE4A2E" w:rsidRPr="007C0629" w:rsidRDefault="00BE4A2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FUEL FILTER ELEMENT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OD 19596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BE4A2E" w:rsidRPr="007C0629" w:rsidRDefault="00BE4A2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FUEL INJECTOR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OD 20362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ASSY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BE4A2E" w:rsidRPr="007C0629" w:rsidRDefault="00BE4A2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GASKET, OIL PAN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OE 49082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BE4A2E" w:rsidRPr="007C0629" w:rsidRDefault="00BE4A2E" w:rsidP="00BE4A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INLET VALVE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50588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LUBE OIL FILTER ELEMENT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CV2473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SEAL, THERMOSTAT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ST 45119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TOP OVERHAULING KIT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KRP 1262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KIT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TURBOCHARGER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BE4A2E" w:rsidRPr="008566CB" w:rsidRDefault="00BE4A2E" w:rsidP="00BE4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OE 49342/1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ASSY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E4A2E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BE4A2E" w:rsidRDefault="00BE4A2E" w:rsidP="00BE4A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STARTER MOTOR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BE4A2E" w:rsidRPr="008566CB" w:rsidRDefault="00BE4A2E" w:rsidP="00BE4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 21858/2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4A2E" w:rsidRDefault="00BE4A2E" w:rsidP="00BE4A2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BE4A2E" w:rsidRPr="00AA49EE" w:rsidRDefault="00BE4A2E" w:rsidP="00BE4A2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:rsidR="00D852DF" w:rsidRPr="00986BD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>
        <w:rPr>
          <w:rFonts w:ascii="Arial" w:eastAsia="Batang" w:hAnsi="Arial" w:cs="Arial"/>
          <w:iCs/>
          <w:sz w:val="22"/>
          <w:szCs w:val="22"/>
          <w:u w:val="single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D852DF" w:rsidRPr="00986BD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D852DF" w:rsidRPr="00986BD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lastRenderedPageBreak/>
        <w:t>Note: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a.2.4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D852DF" w:rsidRPr="006B06A2" w:rsidRDefault="00D852DF" w:rsidP="00D852DF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(a.2.4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:rsidR="00D852DF" w:rsidRPr="00986BD9" w:rsidRDefault="00D852DF" w:rsidP="00D852DF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Parts or Licensee of the OEM.)</w:t>
      </w:r>
    </w:p>
    <w:p w:rsidR="00D852DF" w:rsidRDefault="00D852DF" w:rsidP="00D852DF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D852DF" w:rsidTr="00881891">
        <w:tc>
          <w:tcPr>
            <w:tcW w:w="2628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852DF" w:rsidTr="00881891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D852DF" w:rsidRPr="0027788B" w:rsidRDefault="00D852DF" w:rsidP="00D852DF"/>
    <w:p w:rsidR="008A40FE" w:rsidRPr="0043011A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65B" w:rsidRDefault="003A665B">
      <w:r>
        <w:separator/>
      </w:r>
    </w:p>
  </w:endnote>
  <w:endnote w:type="continuationSeparator" w:id="0">
    <w:p w:rsidR="003A665B" w:rsidRDefault="003A6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30340A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30340A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D27B9E">
      <w:rPr>
        <w:rStyle w:val="PageNumber"/>
        <w:rFonts w:ascii="Arial" w:hAnsi="Arial" w:cs="Arial"/>
        <w:noProof/>
        <w:sz w:val="16"/>
        <w:szCs w:val="16"/>
      </w:rPr>
      <w:t>2</w:t>
    </w:r>
    <w:r w:rsidR="0030340A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65B" w:rsidRDefault="003A665B">
      <w:r>
        <w:separator/>
      </w:r>
    </w:p>
  </w:footnote>
  <w:footnote w:type="continuationSeparator" w:id="0">
    <w:p w:rsidR="003A665B" w:rsidRDefault="003A6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98" w:type="dxa"/>
      <w:tblBorders>
        <w:bottom w:val="single" w:sz="4" w:space="0" w:color="auto"/>
      </w:tblBorders>
      <w:tblLook w:val="00A0"/>
    </w:tblPr>
    <w:tblGrid>
      <w:gridCol w:w="3794"/>
      <w:gridCol w:w="5404"/>
    </w:tblGrid>
    <w:tr w:rsidR="00AA1A71" w:rsidRPr="009B1784" w:rsidTr="00361D0E">
      <w:trPr>
        <w:trHeight w:val="270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5404" w:type="dxa"/>
        </w:tcPr>
        <w:p w:rsidR="00AA1A71" w:rsidRPr="009B1784" w:rsidRDefault="00361D0E" w:rsidP="00361D0E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SUPPLY AND DELIVERY OF </w:t>
          </w:r>
          <w:r w:rsidR="00804009">
            <w:rPr>
              <w:rFonts w:ascii="Arial" w:hAnsi="Arial" w:cs="Arial"/>
              <w:sz w:val="16"/>
              <w:szCs w:val="16"/>
            </w:rPr>
            <w:t>MECHANICAL SPARE PARTS FOR GENERATING SET NO. 1 163KW DALE PERKINS EM: 2006-TG1 EN: 8B27396U88044W SN: 90</w:t>
          </w:r>
        </w:p>
      </w:tc>
    </w:tr>
    <w:tr w:rsidR="00AA1A71" w:rsidRPr="009B1784" w:rsidTr="00361D0E">
      <w:trPr>
        <w:trHeight w:val="242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404" w:type="dxa"/>
        </w:tcPr>
        <w:p w:rsidR="00AA1A71" w:rsidRPr="009B1784" w:rsidRDefault="00AA1A71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</w:t>
          </w:r>
          <w:r w:rsidR="00804009">
            <w:rPr>
              <w:rFonts w:ascii="Arial" w:hAnsi="Arial" w:cs="Arial"/>
              <w:bCs/>
              <w:sz w:val="16"/>
              <w:szCs w:val="16"/>
            </w:rPr>
            <w:t>HKD2</w:t>
          </w:r>
          <w:r w:rsidR="00852531">
            <w:rPr>
              <w:rFonts w:ascii="Arial" w:hAnsi="Arial" w:cs="Arial"/>
              <w:bCs/>
              <w:sz w:val="16"/>
              <w:szCs w:val="16"/>
            </w:rPr>
            <w:t>3</w:t>
          </w:r>
          <w:r w:rsidR="00804009">
            <w:rPr>
              <w:rFonts w:ascii="Arial" w:hAnsi="Arial" w:cs="Arial"/>
              <w:bCs/>
              <w:sz w:val="16"/>
              <w:szCs w:val="16"/>
            </w:rPr>
            <w:t>-</w:t>
          </w:r>
          <w:r w:rsidR="00852531">
            <w:rPr>
              <w:rFonts w:ascii="Arial" w:hAnsi="Arial" w:cs="Arial"/>
              <w:bCs/>
              <w:sz w:val="16"/>
              <w:szCs w:val="16"/>
            </w:rPr>
            <w:t>00</w:t>
          </w:r>
          <w:r w:rsidR="00804009">
            <w:rPr>
              <w:rFonts w:ascii="Arial" w:hAnsi="Arial" w:cs="Arial"/>
              <w:bCs/>
              <w:sz w:val="16"/>
              <w:szCs w:val="16"/>
            </w:rPr>
            <w:t>1</w:t>
          </w: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1657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5F4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415"/>
    <w:rsid w:val="0025674E"/>
    <w:rsid w:val="00257DB3"/>
    <w:rsid w:val="00260512"/>
    <w:rsid w:val="002614C5"/>
    <w:rsid w:val="00261DA0"/>
    <w:rsid w:val="0027059C"/>
    <w:rsid w:val="002727C8"/>
    <w:rsid w:val="00282AB3"/>
    <w:rsid w:val="00282BA1"/>
    <w:rsid w:val="0028321A"/>
    <w:rsid w:val="00283BE7"/>
    <w:rsid w:val="00290CD9"/>
    <w:rsid w:val="00291F3D"/>
    <w:rsid w:val="00292A7D"/>
    <w:rsid w:val="00292F71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6C7"/>
    <w:rsid w:val="002E7A30"/>
    <w:rsid w:val="002F1E94"/>
    <w:rsid w:val="002F4655"/>
    <w:rsid w:val="002F6AB1"/>
    <w:rsid w:val="003006C5"/>
    <w:rsid w:val="00300E47"/>
    <w:rsid w:val="003017A2"/>
    <w:rsid w:val="00302FC2"/>
    <w:rsid w:val="0030340A"/>
    <w:rsid w:val="00303E3C"/>
    <w:rsid w:val="00307A22"/>
    <w:rsid w:val="00307D8B"/>
    <w:rsid w:val="003118EB"/>
    <w:rsid w:val="00311C30"/>
    <w:rsid w:val="00312E31"/>
    <w:rsid w:val="003145DF"/>
    <w:rsid w:val="00315615"/>
    <w:rsid w:val="00315E8A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1D0E"/>
    <w:rsid w:val="00362F01"/>
    <w:rsid w:val="00366EC7"/>
    <w:rsid w:val="00372098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5260"/>
    <w:rsid w:val="003A665B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5DB6"/>
    <w:rsid w:val="004F75CE"/>
    <w:rsid w:val="004F76D3"/>
    <w:rsid w:val="005002FA"/>
    <w:rsid w:val="005003DA"/>
    <w:rsid w:val="00503675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57A87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44BD1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5E1"/>
    <w:rsid w:val="00733FB9"/>
    <w:rsid w:val="00734D35"/>
    <w:rsid w:val="00740B41"/>
    <w:rsid w:val="00740DAD"/>
    <w:rsid w:val="0074212A"/>
    <w:rsid w:val="00742B30"/>
    <w:rsid w:val="00743D42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04009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531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7652B"/>
    <w:rsid w:val="00880A33"/>
    <w:rsid w:val="00881361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B5D9B"/>
    <w:rsid w:val="008C35F3"/>
    <w:rsid w:val="008C3773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04F3F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3DDE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1DFC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4CDE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A2E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2FD3"/>
    <w:rsid w:val="00C4728B"/>
    <w:rsid w:val="00C51816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54BF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25EA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938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27B9E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852DF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01B2"/>
    <w:rsid w:val="00E41578"/>
    <w:rsid w:val="00E41F59"/>
    <w:rsid w:val="00E45668"/>
    <w:rsid w:val="00E46EDD"/>
    <w:rsid w:val="00E50AF6"/>
    <w:rsid w:val="00E514E5"/>
    <w:rsid w:val="00E5584E"/>
    <w:rsid w:val="00E561F3"/>
    <w:rsid w:val="00E56BBA"/>
    <w:rsid w:val="00E56EA0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0D38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D852D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AC58-46D6-4D4F-B83E-07166A09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49</cp:revision>
  <cp:lastPrinted>2021-06-05T04:38:00Z</cp:lastPrinted>
  <dcterms:created xsi:type="dcterms:W3CDTF">2020-07-10T03:30:00Z</dcterms:created>
  <dcterms:modified xsi:type="dcterms:W3CDTF">2022-11-17T06:57:00Z</dcterms:modified>
</cp:coreProperties>
</file>